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02BA8D" w14:textId="0902CECC" w:rsidR="00281AB3" w:rsidRDefault="00296301">
      <w:pPr>
        <w:rPr>
          <w:lang w:val="en-US"/>
        </w:rPr>
      </w:pPr>
      <w:r>
        <w:rPr>
          <w:noProof/>
        </w:rPr>
        <w:drawing>
          <wp:inline distT="0" distB="0" distL="0" distR="0" wp14:anchorId="4BC421A7" wp14:editId="3E4BF0B0">
            <wp:extent cx="4953000" cy="3124200"/>
            <wp:effectExtent l="0" t="0" r="0" b="0"/>
            <wp:docPr id="12" name="Immagine2" descr="Immagine che contiene testo, diagramma, schermata, schizz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magine2" descr="Immagine che contiene testo, diagramma, schermata, schizz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12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901F4D" w14:textId="24768735" w:rsidR="00296301" w:rsidRPr="00296301" w:rsidRDefault="00296301" w:rsidP="00296301">
      <w:pPr>
        <w:jc w:val="both"/>
        <w:rPr>
          <w:rFonts w:ascii="Times New Roman" w:hAnsi="Times New Roman" w:cs="Times New Roman"/>
          <w:b/>
          <w:iCs/>
          <w:lang w:val="en-US"/>
        </w:rPr>
      </w:pPr>
      <w:r w:rsidRPr="00296301">
        <w:rPr>
          <w:rFonts w:ascii="Times New Roman" w:hAnsi="Times New Roman" w:cs="Times New Roman"/>
          <w:b/>
          <w:iCs/>
          <w:lang w:val="en-US"/>
        </w:rPr>
        <w:t xml:space="preserve">FIGURE </w:t>
      </w:r>
      <w:r w:rsidRPr="00984001">
        <w:rPr>
          <w:rFonts w:ascii="Times New Roman" w:hAnsi="Times New Roman" w:cs="Times New Roman"/>
          <w:b/>
          <w:iCs/>
          <w:lang w:val="en-US"/>
        </w:rPr>
        <w:t xml:space="preserve">S2 </w:t>
      </w:r>
      <w:r w:rsidRPr="00984001">
        <w:rPr>
          <w:rFonts w:ascii="Times New Roman" w:hAnsi="Times New Roman" w:cs="Times New Roman"/>
          <w:lang w:val="en-US"/>
        </w:rPr>
        <w:t>R</w:t>
      </w:r>
      <w:r w:rsidRPr="00296301">
        <w:rPr>
          <w:rFonts w:ascii="Times New Roman" w:hAnsi="Times New Roman" w:cs="Times New Roman"/>
          <w:lang w:val="en-US"/>
        </w:rPr>
        <w:t xml:space="preserve">T-PCR of efflux pump gene expression in </w:t>
      </w:r>
      <w:r w:rsidRPr="00296301">
        <w:rPr>
          <w:rFonts w:ascii="Times New Roman" w:hAnsi="Times New Roman" w:cs="Times New Roman"/>
          <w:i/>
          <w:iCs/>
          <w:lang w:val="en-US"/>
        </w:rPr>
        <w:t xml:space="preserve">A. baumannii </w:t>
      </w:r>
      <w:r w:rsidRPr="00296301">
        <w:rPr>
          <w:rFonts w:ascii="Times New Roman" w:hAnsi="Times New Roman" w:cs="Times New Roman"/>
          <w:lang w:val="en-US"/>
        </w:rPr>
        <w:t>ATCC19606 during biofilm growth (grey columns) or planktonic growth (black columns). Assays were performed in triplicate.</w:t>
      </w:r>
    </w:p>
    <w:p w14:paraId="447AE94C" w14:textId="1CEB0E4B" w:rsidR="00296301" w:rsidRPr="00296301" w:rsidRDefault="00296301" w:rsidP="00296301">
      <w:pPr>
        <w:rPr>
          <w:lang w:val="en-US"/>
        </w:rPr>
      </w:pPr>
    </w:p>
    <w:sectPr w:rsidR="00296301" w:rsidRPr="002963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301"/>
    <w:rsid w:val="001542E3"/>
    <w:rsid w:val="00281AB3"/>
    <w:rsid w:val="00296301"/>
    <w:rsid w:val="00307CFF"/>
    <w:rsid w:val="00984001"/>
    <w:rsid w:val="009A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7AB34"/>
  <w15:chartTrackingRefBased/>
  <w15:docId w15:val="{6CF79001-F87F-4D75-BE18-7E5C1D9C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963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6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963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963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963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963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963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963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963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96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6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96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9630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9630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9630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9630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9630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9630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963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96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963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96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96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9630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9630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9630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96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9630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963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Migliaccio</dc:creator>
  <cp:keywords/>
  <dc:description/>
  <cp:lastModifiedBy>Antonella Migliaccio</cp:lastModifiedBy>
  <cp:revision>3</cp:revision>
  <dcterms:created xsi:type="dcterms:W3CDTF">2024-11-15T08:26:00Z</dcterms:created>
  <dcterms:modified xsi:type="dcterms:W3CDTF">2024-11-15T08:28:00Z</dcterms:modified>
</cp:coreProperties>
</file>